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 xml:space="preserve">. Подсчитать суммарное число часов на изучение учебных предметов, выбранных в </w:t>
      </w:r>
      <w:proofErr w:type="spellStart"/>
      <w:r w:rsidR="00F96A7A">
        <w:rPr>
          <w:rFonts w:ascii="Times New Roman" w:hAnsi="Times New Roman"/>
          <w:sz w:val="28"/>
          <w:szCs w:val="28"/>
        </w:rPr>
        <w:t>пп.1</w:t>
      </w:r>
      <w:proofErr w:type="spellEnd"/>
      <w:r w:rsidR="00F96A7A">
        <w:rPr>
          <w:rFonts w:ascii="Times New Roman" w:hAnsi="Times New Roman"/>
          <w:sz w:val="28"/>
          <w:szCs w:val="28"/>
        </w:rPr>
        <w:t xml:space="preserve">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 xml:space="preserve"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</w:t>
      </w:r>
      <w:proofErr w:type="spellStart"/>
      <w:r w:rsidR="00F96A7A">
        <w:rPr>
          <w:rFonts w:ascii="Times New Roman" w:hAnsi="Times New Roman"/>
          <w:sz w:val="28"/>
          <w:szCs w:val="28"/>
        </w:rPr>
        <w:t>п.3</w:t>
      </w:r>
      <w:proofErr w:type="spellEnd"/>
      <w:r w:rsidR="00F96A7A">
        <w:rPr>
          <w:rFonts w:ascii="Times New Roman" w:hAnsi="Times New Roman"/>
          <w:sz w:val="28"/>
          <w:szCs w:val="28"/>
        </w:rPr>
        <w:t>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</w:t>
      </w:r>
      <w:proofErr w:type="spellStart"/>
      <w:r w:rsidR="00F96A7A">
        <w:rPr>
          <w:rFonts w:ascii="Times New Roman" w:hAnsi="Times New Roman"/>
          <w:sz w:val="28"/>
          <w:szCs w:val="28"/>
        </w:rPr>
        <w:t>п.3</w:t>
      </w:r>
      <w:proofErr w:type="spellEnd"/>
      <w:r w:rsidR="00F96A7A">
        <w:rPr>
          <w:rFonts w:ascii="Times New Roman" w:hAnsi="Times New Roman"/>
          <w:sz w:val="28"/>
          <w:szCs w:val="28"/>
        </w:rPr>
        <w:t>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446A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44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44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44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4446A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44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44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8406D7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D96863">
        <w:rPr>
          <w:sz w:val="28"/>
          <w:szCs w:val="28"/>
        </w:rPr>
        <w:t xml:space="preserve">чебный план </w:t>
      </w:r>
      <w:r w:rsidR="00063221">
        <w:rPr>
          <w:sz w:val="28"/>
          <w:szCs w:val="28"/>
        </w:rPr>
        <w:t>для 10-11 классов</w:t>
      </w:r>
      <w:r w:rsidR="00063221" w:rsidRPr="00AA2287">
        <w:rPr>
          <w:sz w:val="28"/>
          <w:szCs w:val="28"/>
        </w:rPr>
        <w:t xml:space="preserve"> </w:t>
      </w:r>
      <w:r w:rsidR="00241818" w:rsidRPr="00AA2287">
        <w:rPr>
          <w:sz w:val="28"/>
          <w:szCs w:val="28"/>
        </w:rPr>
        <w:t xml:space="preserve">образовательных </w:t>
      </w:r>
      <w:r w:rsidR="00241818">
        <w:rPr>
          <w:sz w:val="28"/>
          <w:szCs w:val="28"/>
        </w:rPr>
        <w:t>организаций</w:t>
      </w:r>
      <w:r w:rsidR="00241818" w:rsidRPr="00AA2287">
        <w:rPr>
          <w:sz w:val="28"/>
          <w:szCs w:val="28"/>
        </w:rPr>
        <w:t xml:space="preserve"> Республики Дагестан в условиях введения профильного обучения</w:t>
      </w:r>
      <w:r w:rsidR="00E1610A">
        <w:rPr>
          <w:sz w:val="28"/>
          <w:szCs w:val="28"/>
        </w:rPr>
        <w:t xml:space="preserve"> на 2017/2018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638"/>
        <w:gridCol w:w="1084"/>
        <w:gridCol w:w="1229"/>
        <w:gridCol w:w="1291"/>
        <w:gridCol w:w="1681"/>
      </w:tblGrid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Количество часов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proofErr w:type="spellStart"/>
            <w:r w:rsidRPr="00063EE0">
              <w:rPr>
                <w:b w:val="0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48223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</w:t>
            </w:r>
            <w:r w:rsidR="000F4A77">
              <w:rPr>
                <w:szCs w:val="24"/>
                <w:lang w:eastAsia="ru-RU"/>
              </w:rPr>
              <w:t xml:space="preserve">ты по выбору на базовом и </w:t>
            </w:r>
            <w:r w:rsidRPr="00063EE0">
              <w:rPr>
                <w:szCs w:val="24"/>
                <w:lang w:eastAsia="ru-RU"/>
              </w:rPr>
              <w:t>профильн</w:t>
            </w:r>
            <w:r w:rsidR="0048223E">
              <w:rPr>
                <w:szCs w:val="24"/>
                <w:lang w:eastAsia="ru-RU"/>
              </w:rPr>
              <w:t>ом</w:t>
            </w:r>
            <w:r w:rsidRPr="00063EE0">
              <w:rPr>
                <w:szCs w:val="24"/>
                <w:lang w:eastAsia="ru-RU"/>
              </w:rPr>
              <w:t xml:space="preserve"> уровнях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Профильный уровень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Искусство (</w:t>
            </w:r>
            <w:proofErr w:type="spellStart"/>
            <w:r w:rsidRPr="00063EE0">
              <w:rPr>
                <w:b w:val="0"/>
                <w:szCs w:val="24"/>
                <w:lang w:eastAsia="ru-RU"/>
              </w:rPr>
              <w:t>МХК</w:t>
            </w:r>
            <w:proofErr w:type="spellEnd"/>
            <w:r w:rsidRPr="00063EE0">
              <w:rPr>
                <w:b w:val="0"/>
                <w:szCs w:val="24"/>
                <w:lang w:eastAsia="ru-RU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proofErr w:type="spellStart"/>
            <w:r w:rsidRPr="00063EE0">
              <w:rPr>
                <w:b w:val="0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241818" w:rsidRPr="00063EE0" w:rsidRDefault="00241818" w:rsidP="00241818">
      <w:pPr>
        <w:pStyle w:val="a3"/>
        <w:rPr>
          <w:szCs w:val="24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4446A9" w:rsidRDefault="0048223E" w:rsidP="00241818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</w:t>
      </w:r>
    </w:p>
    <w:p w:rsidR="004446A9" w:rsidRDefault="00063221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10-11 классов </w:t>
      </w:r>
      <w:r w:rsidR="004446A9">
        <w:rPr>
          <w:sz w:val="28"/>
          <w:szCs w:val="28"/>
        </w:rPr>
        <w:t>МКОУ «Гельхенская СОШ-детсад»</w:t>
      </w:r>
      <w:r w:rsidR="00222472">
        <w:rPr>
          <w:sz w:val="28"/>
          <w:szCs w:val="28"/>
        </w:rPr>
        <w:t xml:space="preserve"> 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proofErr w:type="spellStart"/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36" w:rsidRDefault="00FF7536" w:rsidP="00D96863">
      <w:pPr>
        <w:spacing w:after="0" w:line="240" w:lineRule="auto"/>
      </w:pPr>
      <w:r>
        <w:separator/>
      </w:r>
    </w:p>
  </w:endnote>
  <w:endnote w:type="continuationSeparator" w:id="0">
    <w:p w:rsidR="00FF7536" w:rsidRDefault="00FF7536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FF753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6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36" w:rsidRDefault="00FF7536" w:rsidP="00D96863">
      <w:pPr>
        <w:spacing w:after="0" w:line="240" w:lineRule="auto"/>
      </w:pPr>
      <w:r>
        <w:separator/>
      </w:r>
    </w:p>
  </w:footnote>
  <w:footnote w:type="continuationSeparator" w:id="0">
    <w:p w:rsidR="00FF7536" w:rsidRDefault="00FF7536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446A9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ND</cp:lastModifiedBy>
  <cp:revision>25</cp:revision>
  <cp:lastPrinted>2017-11-15T23:00:00Z</cp:lastPrinted>
  <dcterms:created xsi:type="dcterms:W3CDTF">2015-04-10T11:39:00Z</dcterms:created>
  <dcterms:modified xsi:type="dcterms:W3CDTF">2017-11-15T23:00:00Z</dcterms:modified>
</cp:coreProperties>
</file>